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412DA1" w:rsidRPr="00412DA1">
        <w:trPr>
          <w:cantSplit/>
        </w:trPr>
        <w:tc>
          <w:tcPr>
            <w:tcW w:w="1417" w:type="dxa"/>
            <w:vMerge w:val="restart"/>
          </w:tcPr>
          <w:p w:rsidR="00412DA1" w:rsidRPr="00412DA1" w:rsidRDefault="00412DA1" w:rsidP="00412DA1">
            <w:bookmarkStart w:id="0" w:name="InsertLogo"/>
            <w:bookmarkStart w:id="1" w:name="dnum" w:colFirst="2" w:colLast="2"/>
            <w:bookmarkStart w:id="2" w:name="dtableau"/>
            <w:bookmarkEnd w:id="0"/>
            <w:r w:rsidRPr="00412DA1">
              <w:rPr>
                <w:b/>
                <w:noProof/>
                <w:sz w:val="36"/>
                <w:lang w:val="en-US" w:eastAsia="zh-CN"/>
              </w:rPr>
              <w:drawing>
                <wp:inline distT="0" distB="0" distL="0" distR="0" wp14:anchorId="71B6AD5F" wp14:editId="0825FAF8">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9"/>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412DA1" w:rsidRPr="00412DA1" w:rsidRDefault="00412DA1" w:rsidP="00412DA1">
            <w:pPr>
              <w:rPr>
                <w:sz w:val="20"/>
              </w:rPr>
            </w:pPr>
            <w:r w:rsidRPr="00412DA1">
              <w:rPr>
                <w:sz w:val="20"/>
              </w:rPr>
              <w:t>INTERNATIONAL TELECOMMUNICATION UNION</w:t>
            </w:r>
          </w:p>
        </w:tc>
        <w:tc>
          <w:tcPr>
            <w:tcW w:w="3345" w:type="dxa"/>
          </w:tcPr>
          <w:p w:rsidR="00412DA1" w:rsidRPr="00412DA1" w:rsidRDefault="00412DA1" w:rsidP="00412DA1">
            <w:pPr>
              <w:pStyle w:val="Docnumber"/>
              <w:rPr>
                <w:sz w:val="28"/>
              </w:rPr>
            </w:pPr>
            <w:r>
              <w:rPr>
                <w:sz w:val="28"/>
              </w:rPr>
              <w:t>COM 16 – C 281 – E</w:t>
            </w:r>
          </w:p>
        </w:tc>
      </w:tr>
      <w:tr w:rsidR="00412DA1" w:rsidRPr="00412DA1">
        <w:trPr>
          <w:cantSplit/>
          <w:trHeight w:val="355"/>
        </w:trPr>
        <w:tc>
          <w:tcPr>
            <w:tcW w:w="1417" w:type="dxa"/>
            <w:vMerge/>
          </w:tcPr>
          <w:p w:rsidR="00412DA1" w:rsidRPr="00412DA1" w:rsidRDefault="00412DA1" w:rsidP="00412DA1">
            <w:bookmarkStart w:id="3" w:name="ddate" w:colFirst="2" w:colLast="2"/>
            <w:bookmarkEnd w:id="1"/>
          </w:p>
        </w:tc>
        <w:tc>
          <w:tcPr>
            <w:tcW w:w="4040" w:type="dxa"/>
            <w:gridSpan w:val="3"/>
            <w:vMerge w:val="restart"/>
          </w:tcPr>
          <w:p w:rsidR="00412DA1" w:rsidRPr="00412DA1" w:rsidRDefault="00412DA1" w:rsidP="00412DA1">
            <w:pPr>
              <w:rPr>
                <w:b/>
                <w:bCs/>
                <w:sz w:val="26"/>
              </w:rPr>
            </w:pPr>
            <w:r w:rsidRPr="00412DA1">
              <w:rPr>
                <w:b/>
                <w:bCs/>
                <w:sz w:val="26"/>
              </w:rPr>
              <w:t>TELECOMMUNICATION</w:t>
            </w:r>
            <w:r w:rsidRPr="00412DA1">
              <w:rPr>
                <w:b/>
                <w:bCs/>
                <w:sz w:val="26"/>
              </w:rPr>
              <w:br/>
              <w:t>STANDARDIZATION SECTO</w:t>
            </w:r>
            <w:bookmarkStart w:id="4" w:name="_GoBack"/>
            <w:bookmarkEnd w:id="4"/>
            <w:r w:rsidRPr="00412DA1">
              <w:rPr>
                <w:b/>
                <w:bCs/>
                <w:sz w:val="26"/>
              </w:rPr>
              <w:t>R</w:t>
            </w:r>
          </w:p>
          <w:p w:rsidR="00412DA1" w:rsidRPr="00412DA1" w:rsidRDefault="00412DA1" w:rsidP="00412DA1">
            <w:pPr>
              <w:rPr>
                <w:smallCaps/>
                <w:sz w:val="20"/>
              </w:rPr>
            </w:pPr>
            <w:r w:rsidRPr="00412DA1">
              <w:rPr>
                <w:sz w:val="20"/>
              </w:rPr>
              <w:t xml:space="preserve">STUDY PERIOD </w:t>
            </w:r>
            <w:r>
              <w:rPr>
                <w:sz w:val="20"/>
              </w:rPr>
              <w:t>2013-2016</w:t>
            </w:r>
          </w:p>
        </w:tc>
        <w:tc>
          <w:tcPr>
            <w:tcW w:w="4466" w:type="dxa"/>
            <w:gridSpan w:val="2"/>
          </w:tcPr>
          <w:p w:rsidR="00412DA1" w:rsidRPr="00412DA1" w:rsidRDefault="00412DA1" w:rsidP="00412DA1">
            <w:pPr>
              <w:jc w:val="right"/>
              <w:rPr>
                <w:b/>
                <w:bCs/>
                <w:sz w:val="28"/>
              </w:rPr>
            </w:pPr>
            <w:r>
              <w:rPr>
                <w:b/>
                <w:bCs/>
                <w:sz w:val="28"/>
              </w:rPr>
              <w:t>September 2013</w:t>
            </w:r>
          </w:p>
        </w:tc>
      </w:tr>
      <w:tr w:rsidR="00412DA1" w:rsidRPr="00412DA1">
        <w:trPr>
          <w:cantSplit/>
          <w:trHeight w:val="780"/>
        </w:trPr>
        <w:tc>
          <w:tcPr>
            <w:tcW w:w="1417" w:type="dxa"/>
            <w:vMerge/>
            <w:tcBorders>
              <w:bottom w:val="single" w:sz="12" w:space="0" w:color="auto"/>
            </w:tcBorders>
          </w:tcPr>
          <w:p w:rsidR="00412DA1" w:rsidRPr="00412DA1" w:rsidRDefault="00412DA1" w:rsidP="00412DA1">
            <w:bookmarkStart w:id="5" w:name="dorlang" w:colFirst="2" w:colLast="2"/>
            <w:bookmarkEnd w:id="3"/>
          </w:p>
        </w:tc>
        <w:tc>
          <w:tcPr>
            <w:tcW w:w="4040" w:type="dxa"/>
            <w:gridSpan w:val="3"/>
            <w:vMerge/>
            <w:tcBorders>
              <w:bottom w:val="single" w:sz="12" w:space="0" w:color="auto"/>
            </w:tcBorders>
          </w:tcPr>
          <w:p w:rsidR="00412DA1" w:rsidRPr="00412DA1" w:rsidRDefault="00412DA1" w:rsidP="00412DA1">
            <w:pPr>
              <w:rPr>
                <w:b/>
                <w:bCs/>
                <w:sz w:val="26"/>
              </w:rPr>
            </w:pPr>
          </w:p>
        </w:tc>
        <w:tc>
          <w:tcPr>
            <w:tcW w:w="4466" w:type="dxa"/>
            <w:gridSpan w:val="2"/>
            <w:tcBorders>
              <w:bottom w:val="single" w:sz="12" w:space="0" w:color="auto"/>
            </w:tcBorders>
            <w:vAlign w:val="center"/>
          </w:tcPr>
          <w:p w:rsidR="00412DA1" w:rsidRDefault="000D41F7" w:rsidP="00412DA1">
            <w:pPr>
              <w:jc w:val="right"/>
              <w:rPr>
                <w:b/>
                <w:bCs/>
                <w:sz w:val="28"/>
              </w:rPr>
            </w:pPr>
            <w:r w:rsidRPr="00AD7465">
              <w:rPr>
                <w:rFonts w:eastAsia="Times New Roman"/>
                <w:b/>
                <w:bCs/>
                <w:sz w:val="28"/>
                <w:szCs w:val="20"/>
                <w:lang w:eastAsia="en-US"/>
              </w:rPr>
              <w:t>English</w:t>
            </w:r>
            <w:r w:rsidRPr="0017238C">
              <w:rPr>
                <w:rFonts w:eastAsia="Times New Roman"/>
                <w:b/>
                <w:bCs/>
                <w:sz w:val="28"/>
                <w:szCs w:val="20"/>
                <w:lang w:eastAsia="en-US"/>
              </w:rPr>
              <w:t>, French</w:t>
            </w:r>
          </w:p>
          <w:p w:rsidR="00412DA1" w:rsidRPr="00412DA1" w:rsidRDefault="00412DA1" w:rsidP="00412DA1">
            <w:pPr>
              <w:jc w:val="right"/>
              <w:rPr>
                <w:b/>
                <w:bCs/>
                <w:sz w:val="28"/>
              </w:rPr>
            </w:pPr>
            <w:r>
              <w:rPr>
                <w:b/>
                <w:bCs/>
                <w:sz w:val="28"/>
              </w:rPr>
              <w:t>Original: English</w:t>
            </w:r>
          </w:p>
        </w:tc>
      </w:tr>
      <w:tr w:rsidR="00412DA1" w:rsidRPr="00412DA1">
        <w:trPr>
          <w:cantSplit/>
          <w:trHeight w:val="357"/>
        </w:trPr>
        <w:tc>
          <w:tcPr>
            <w:tcW w:w="1617" w:type="dxa"/>
            <w:gridSpan w:val="2"/>
          </w:tcPr>
          <w:p w:rsidR="00412DA1" w:rsidRPr="00412DA1" w:rsidRDefault="00412DA1" w:rsidP="00412DA1">
            <w:pPr>
              <w:rPr>
                <w:b/>
                <w:bCs/>
              </w:rPr>
            </w:pPr>
            <w:bookmarkStart w:id="6" w:name="dmeeting" w:colFirst="2" w:colLast="2"/>
            <w:bookmarkStart w:id="7" w:name="dbluepink" w:colFirst="1" w:colLast="1"/>
            <w:bookmarkEnd w:id="5"/>
            <w:r w:rsidRPr="00412DA1">
              <w:rPr>
                <w:b/>
                <w:bCs/>
              </w:rPr>
              <w:t>Question(s):</w:t>
            </w:r>
          </w:p>
        </w:tc>
        <w:tc>
          <w:tcPr>
            <w:tcW w:w="3360" w:type="dxa"/>
          </w:tcPr>
          <w:p w:rsidR="00412DA1" w:rsidRPr="00412DA1" w:rsidRDefault="00412DA1" w:rsidP="00412DA1">
            <w:r w:rsidRPr="00412DA1">
              <w:t>13, 21, 26/16</w:t>
            </w:r>
          </w:p>
        </w:tc>
        <w:tc>
          <w:tcPr>
            <w:tcW w:w="4946" w:type="dxa"/>
            <w:gridSpan w:val="3"/>
          </w:tcPr>
          <w:p w:rsidR="00412DA1" w:rsidRPr="00412DA1" w:rsidRDefault="00412DA1" w:rsidP="00412DA1">
            <w:pPr>
              <w:jc w:val="right"/>
            </w:pPr>
          </w:p>
        </w:tc>
      </w:tr>
      <w:tr w:rsidR="00412DA1" w:rsidRPr="00412DA1">
        <w:trPr>
          <w:cantSplit/>
          <w:trHeight w:val="357"/>
        </w:trPr>
        <w:tc>
          <w:tcPr>
            <w:tcW w:w="9923" w:type="dxa"/>
            <w:gridSpan w:val="6"/>
          </w:tcPr>
          <w:p w:rsidR="00412DA1" w:rsidRPr="00412DA1" w:rsidRDefault="00412DA1" w:rsidP="00412DA1">
            <w:pPr>
              <w:jc w:val="center"/>
              <w:rPr>
                <w:b/>
                <w:bCs/>
              </w:rPr>
            </w:pPr>
            <w:bookmarkStart w:id="8" w:name="dtitle" w:colFirst="0" w:colLast="0"/>
            <w:bookmarkEnd w:id="6"/>
            <w:bookmarkEnd w:id="7"/>
            <w:r w:rsidRPr="00412DA1">
              <w:rPr>
                <w:b/>
                <w:bCs/>
              </w:rPr>
              <w:t>STUDY GROUP 16 – CONTRIBUTION 281</w:t>
            </w:r>
          </w:p>
        </w:tc>
      </w:tr>
      <w:tr w:rsidR="00412DA1" w:rsidRPr="00412DA1">
        <w:trPr>
          <w:cantSplit/>
          <w:trHeight w:val="357"/>
        </w:trPr>
        <w:tc>
          <w:tcPr>
            <w:tcW w:w="1617" w:type="dxa"/>
            <w:gridSpan w:val="2"/>
          </w:tcPr>
          <w:p w:rsidR="00412DA1" w:rsidRPr="00412DA1" w:rsidRDefault="00412DA1" w:rsidP="00412DA1">
            <w:pPr>
              <w:rPr>
                <w:b/>
                <w:bCs/>
              </w:rPr>
            </w:pPr>
            <w:bookmarkStart w:id="9" w:name="dsource" w:colFirst="1" w:colLast="1"/>
            <w:bookmarkEnd w:id="8"/>
            <w:r w:rsidRPr="00412DA1">
              <w:rPr>
                <w:b/>
                <w:bCs/>
              </w:rPr>
              <w:t>Source:</w:t>
            </w:r>
          </w:p>
        </w:tc>
        <w:tc>
          <w:tcPr>
            <w:tcW w:w="8306" w:type="dxa"/>
            <w:gridSpan w:val="4"/>
          </w:tcPr>
          <w:p w:rsidR="00412DA1" w:rsidRPr="00412DA1" w:rsidRDefault="00412DA1" w:rsidP="00412DA1">
            <w:r w:rsidRPr="00412DA1">
              <w:t>AICN (Benin)</w:t>
            </w:r>
          </w:p>
        </w:tc>
      </w:tr>
      <w:tr w:rsidR="00412DA1" w:rsidRPr="00412DA1">
        <w:trPr>
          <w:cantSplit/>
          <w:trHeight w:val="357"/>
        </w:trPr>
        <w:tc>
          <w:tcPr>
            <w:tcW w:w="1617" w:type="dxa"/>
            <w:gridSpan w:val="2"/>
            <w:tcBorders>
              <w:bottom w:val="single" w:sz="12" w:space="0" w:color="auto"/>
            </w:tcBorders>
          </w:tcPr>
          <w:p w:rsidR="00412DA1" w:rsidRPr="00412DA1" w:rsidRDefault="00412DA1" w:rsidP="00412DA1">
            <w:pPr>
              <w:spacing w:after="120"/>
            </w:pPr>
            <w:bookmarkStart w:id="10" w:name="dtitle1" w:colFirst="1" w:colLast="1"/>
            <w:bookmarkEnd w:id="9"/>
            <w:r w:rsidRPr="00412DA1">
              <w:rPr>
                <w:b/>
                <w:bCs/>
              </w:rPr>
              <w:t>Title:</w:t>
            </w:r>
          </w:p>
        </w:tc>
        <w:tc>
          <w:tcPr>
            <w:tcW w:w="8306" w:type="dxa"/>
            <w:gridSpan w:val="4"/>
            <w:tcBorders>
              <w:bottom w:val="single" w:sz="12" w:space="0" w:color="auto"/>
            </w:tcBorders>
          </w:tcPr>
          <w:p w:rsidR="00412DA1" w:rsidRPr="00412DA1" w:rsidRDefault="00412DA1" w:rsidP="00412DA1">
            <w:pPr>
              <w:spacing w:after="120"/>
            </w:pPr>
            <w:r w:rsidRPr="00412DA1">
              <w:t>Facilitating access to multimedia and ICT products and services for illiterate consumers</w:t>
            </w:r>
          </w:p>
        </w:tc>
      </w:tr>
    </w:tbl>
    <w:bookmarkEnd w:id="2"/>
    <w:bookmarkEnd w:id="10"/>
    <w:p w:rsidR="009B37C9" w:rsidRPr="00693C60" w:rsidRDefault="003733BF" w:rsidP="00412DA1">
      <w:pPr>
        <w:pStyle w:val="Heading1"/>
        <w:spacing w:before="240"/>
        <w:rPr>
          <w:lang w:val="en-US"/>
        </w:rPr>
      </w:pPr>
      <w:r w:rsidRPr="00693C60">
        <w:rPr>
          <w:lang w:val="en-US"/>
        </w:rPr>
        <w:t>1</w:t>
      </w:r>
      <w:r w:rsidRPr="00693C60">
        <w:rPr>
          <w:lang w:val="en-US"/>
        </w:rPr>
        <w:tab/>
      </w:r>
      <w:r w:rsidR="009B37C9" w:rsidRPr="00693C60">
        <w:rPr>
          <w:lang w:val="en-US"/>
        </w:rPr>
        <w:t>Introduction</w:t>
      </w:r>
    </w:p>
    <w:p w:rsidR="009B37C9" w:rsidRPr="00693C60" w:rsidRDefault="00C21423" w:rsidP="00D366C1">
      <w:pPr>
        <w:rPr>
          <w:lang w:val="en-US"/>
        </w:rPr>
      </w:pPr>
      <w:r w:rsidRPr="00693C60">
        <w:rPr>
          <w:lang w:val="en-US"/>
        </w:rPr>
        <w:t>9 September 2013 – According to the latest data from the United Nations Educational, Scientific and Cultural Organization (</w:t>
      </w:r>
      <w:hyperlink r:id="rId10" w:history="1">
        <w:r w:rsidRPr="00693C60">
          <w:rPr>
            <w:color w:val="0000FF"/>
            <w:u w:val="single"/>
            <w:lang w:val="en-US" w:eastAsia="zh-CN"/>
          </w:rPr>
          <w:t>UNESCO</w:t>
        </w:r>
      </w:hyperlink>
      <w:r w:rsidRPr="00693C60">
        <w:rPr>
          <w:lang w:val="en-US"/>
        </w:rPr>
        <w:t xml:space="preserve">), published on Sunday on the occasion of </w:t>
      </w:r>
      <w:r w:rsidR="00D366C1" w:rsidRPr="00693C60">
        <w:rPr>
          <w:lang w:val="en-US"/>
        </w:rPr>
        <w:t xml:space="preserve">International Literacy Day, over 84 per cent of adults worldwide know how to read and write. This, however, still leaves some </w:t>
      </w:r>
      <w:r w:rsidR="00D366C1" w:rsidRPr="00693C60">
        <w:rPr>
          <w:b/>
          <w:bCs/>
          <w:i/>
          <w:iCs/>
          <w:lang w:val="en-US"/>
        </w:rPr>
        <w:t>774 million adults</w:t>
      </w:r>
      <w:r w:rsidR="00D366C1" w:rsidRPr="00693C60">
        <w:rPr>
          <w:lang w:val="en-US"/>
        </w:rPr>
        <w:t xml:space="preserve"> who are illiterate.</w:t>
      </w:r>
    </w:p>
    <w:p w:rsidR="00D366C1" w:rsidRPr="00693C60" w:rsidRDefault="00D366C1" w:rsidP="00BD2861">
      <w:pPr>
        <w:rPr>
          <w:lang w:val="en-US"/>
        </w:rPr>
      </w:pPr>
      <w:r w:rsidRPr="00693C60">
        <w:rPr>
          <w:lang w:val="en-US"/>
        </w:rPr>
        <w:t>These new data show that most of the world’s illiterate adults live in South and West Asia and sub-Saharan Africa. On the basis of current trends, 743 million adults, together with 98 million young people, will still lack basic literacy skills in 2015, the deadline for the Millennium Development Goals. Two thirds of these people are women</w:t>
      </w:r>
      <w:r w:rsidR="00A166C1" w:rsidRPr="00693C60">
        <w:rPr>
          <w:lang w:val="en-US"/>
        </w:rPr>
        <w:t>.</w:t>
      </w:r>
    </w:p>
    <w:p w:rsidR="00CE13D2" w:rsidRPr="00693C60" w:rsidRDefault="00CE13D2" w:rsidP="00784E02">
      <w:pPr>
        <w:rPr>
          <w:lang w:val="en-US"/>
        </w:rPr>
      </w:pPr>
      <w:r w:rsidRPr="00693C60">
        <w:rPr>
          <w:lang w:val="en-US"/>
        </w:rPr>
        <w:t xml:space="preserve">In the words of UNESCO Director-General Irina </w:t>
      </w:r>
      <w:proofErr w:type="spellStart"/>
      <w:r w:rsidRPr="00693C60">
        <w:rPr>
          <w:lang w:val="en-US"/>
        </w:rPr>
        <w:t>Bokova</w:t>
      </w:r>
      <w:proofErr w:type="spellEnd"/>
      <w:r w:rsidRPr="00693C60">
        <w:rPr>
          <w:lang w:val="en-US"/>
        </w:rPr>
        <w:t>, in her message for the Day</w:t>
      </w:r>
      <w:r w:rsidR="00784E02" w:rsidRPr="00693C60">
        <w:rPr>
          <w:lang w:val="en-US"/>
        </w:rPr>
        <w:t>,</w:t>
      </w:r>
      <w:r w:rsidRPr="00693C60">
        <w:rPr>
          <w:lang w:val="en-US"/>
        </w:rPr>
        <w:t xml:space="preserve"> “</w:t>
      </w:r>
      <w:r w:rsidRPr="00693C60">
        <w:rPr>
          <w:b/>
          <w:bCs/>
          <w:i/>
          <w:iCs/>
          <w:lang w:val="en-US"/>
        </w:rPr>
        <w:t>Literacy is the first condition for dialogue, communication and integration into new connected societies. Young people need new skills to enter and succeed in the job market: knowledge of several languages, understanding of cultural diversity, lifelong learning</w:t>
      </w:r>
      <w:r w:rsidRPr="00693C60">
        <w:rPr>
          <w:lang w:val="en-US"/>
        </w:rPr>
        <w:t>”.</w:t>
      </w:r>
    </w:p>
    <w:p w:rsidR="00CE13D2" w:rsidRPr="00693C60" w:rsidRDefault="00784E02" w:rsidP="00D366C1">
      <w:pPr>
        <w:rPr>
          <w:lang w:val="en-US"/>
        </w:rPr>
      </w:pPr>
      <w:r w:rsidRPr="00693C60">
        <w:rPr>
          <w:lang w:val="en-US"/>
        </w:rPr>
        <w:t>She went on to add that “</w:t>
      </w:r>
      <w:r w:rsidR="0042747D" w:rsidRPr="00693C60">
        <w:rPr>
          <w:lang w:val="en-US"/>
        </w:rPr>
        <w:t>Literacy is the key for acquiring knowledge, interpersonal skills, expertise and the ability to live together in community – all skills that are the foundations of modern society. In the twenty-first century, more than ever before, literacy is the cornerstone of peace and development”.</w:t>
      </w:r>
    </w:p>
    <w:p w:rsidR="001E3527" w:rsidRPr="00693C60" w:rsidRDefault="001E3527" w:rsidP="00D366C1">
      <w:pPr>
        <w:rPr>
          <w:lang w:val="en-US"/>
        </w:rPr>
      </w:pPr>
      <w:r w:rsidRPr="00693C60">
        <w:rPr>
          <w:lang w:val="en-US"/>
        </w:rPr>
        <w:t>Illiteracy also remains a persistent problem in developed countries. According to the Organization for Economic Cooperation and Development (OECD), one in five young people in Europe had poor literacy skills in 2009, and some 160 million adults in OECD countries were functionally illiterate. This means that they do not have the skills needed to function in today’s environments, such as the ability to fill out forms, follow instructions, read a map, or help with their children with homework.</w:t>
      </w:r>
    </w:p>
    <w:p w:rsidR="00E875BA" w:rsidRPr="00693C60" w:rsidRDefault="00E875BA" w:rsidP="00E875BA">
      <w:pPr>
        <w:rPr>
          <w:lang w:val="en-US"/>
        </w:rPr>
      </w:pPr>
      <w:r w:rsidRPr="00693C60">
        <w:rPr>
          <w:lang w:val="en-US"/>
        </w:rPr>
        <w:t xml:space="preserve">“This situation is exacerbated by the rise of new technologies and modern knowledge societies that make the ability to read and write all the more essential” said Ms </w:t>
      </w:r>
      <w:proofErr w:type="spellStart"/>
      <w:r w:rsidRPr="00693C60">
        <w:rPr>
          <w:lang w:val="en-US"/>
        </w:rPr>
        <w:t>Bokova</w:t>
      </w:r>
      <w:proofErr w:type="spellEnd"/>
      <w:r w:rsidRPr="00693C60">
        <w:rPr>
          <w:lang w:val="en-US"/>
        </w:rPr>
        <w:t>. “Literacies for the 21st century” is the theme of the 2013 edition of International Literacy Day, chosen to highlight the evolving range of literacy skills required to full participate in today’s connected societies [1].</w:t>
      </w:r>
    </w:p>
    <w:p w:rsidR="00D347D7" w:rsidRPr="00693C60" w:rsidRDefault="00E875BA" w:rsidP="00156899">
      <w:pPr>
        <w:rPr>
          <w:lang w:val="en-US"/>
        </w:rPr>
      </w:pPr>
      <w:r w:rsidRPr="00693C60">
        <w:rPr>
          <w:lang w:val="en-US"/>
        </w:rPr>
        <w:t>St</w:t>
      </w:r>
      <w:r w:rsidR="0098320B" w:rsidRPr="00693C60">
        <w:rPr>
          <w:lang w:val="en-US"/>
        </w:rPr>
        <w:t xml:space="preserve">andardization activities have taken account </w:t>
      </w:r>
      <w:r w:rsidR="00D347D7" w:rsidRPr="00693C60">
        <w:rPr>
          <w:lang w:val="en-US"/>
        </w:rPr>
        <w:t xml:space="preserve">of </w:t>
      </w:r>
      <w:r w:rsidR="0098320B" w:rsidRPr="00693C60">
        <w:rPr>
          <w:lang w:val="en-US"/>
        </w:rPr>
        <w:t>the concerns of persons with disabilities</w:t>
      </w:r>
      <w:r w:rsidR="00D347D7" w:rsidRPr="00693C60">
        <w:rPr>
          <w:lang w:val="en-US"/>
        </w:rPr>
        <w:t>, in line with the Convention on the Rights of Persons with Disabilities (2006). Recommendation ITU-T</w:t>
      </w:r>
      <w:r w:rsidR="00156899" w:rsidRPr="00693C60">
        <w:rPr>
          <w:lang w:val="en-US"/>
        </w:rPr>
        <w:t xml:space="preserve"> </w:t>
      </w:r>
      <w:r w:rsidR="00156899" w:rsidRPr="00693C60">
        <w:rPr>
          <w:lang w:val="en-US"/>
        </w:rPr>
        <w:lastRenderedPageBreak/>
        <w:t xml:space="preserve">F.790 (2007) sets out a series of telecommunication accessibility guidelines for older persons and persons with disabilities. The millions of adult and young consumers in the third world who do not know how to read or write </w:t>
      </w:r>
      <w:r w:rsidR="005D0999" w:rsidRPr="00693C60">
        <w:rPr>
          <w:lang w:val="en-US"/>
        </w:rPr>
        <w:t>constitute the final link in the disability chain to be included in Recommendation ITU-T F.790 of January 2007.</w:t>
      </w:r>
    </w:p>
    <w:p w:rsidR="009B37C9" w:rsidRPr="00693C60" w:rsidRDefault="003733BF" w:rsidP="00412DA1">
      <w:pPr>
        <w:pStyle w:val="Heading1"/>
        <w:spacing w:before="300"/>
        <w:rPr>
          <w:lang w:val="en-US"/>
        </w:rPr>
      </w:pPr>
      <w:r w:rsidRPr="00693C60">
        <w:rPr>
          <w:lang w:val="en-US"/>
        </w:rPr>
        <w:t>2</w:t>
      </w:r>
      <w:r w:rsidRPr="00693C60">
        <w:rPr>
          <w:lang w:val="en-US"/>
        </w:rPr>
        <w:tab/>
      </w:r>
      <w:r w:rsidR="00BF2294" w:rsidRPr="00693C60">
        <w:rPr>
          <w:lang w:val="en-US"/>
        </w:rPr>
        <w:t>Communications – a human right</w:t>
      </w:r>
    </w:p>
    <w:p w:rsidR="009B37C9" w:rsidRPr="00693C60" w:rsidRDefault="00BF2294" w:rsidP="009570AE">
      <w:pPr>
        <w:rPr>
          <w:lang w:val="en-US"/>
        </w:rPr>
      </w:pPr>
      <w:r w:rsidRPr="00693C60">
        <w:rPr>
          <w:lang w:val="en-US"/>
        </w:rPr>
        <w:t>In Africa and in developing countries, consumers invest some 40 per cent of their income in communications. However, they use barely five per cent of their resources on the communication possibilities offered by multimedia terminals.</w:t>
      </w:r>
    </w:p>
    <w:p w:rsidR="00BF2294" w:rsidRPr="00693C60" w:rsidRDefault="00BF2294" w:rsidP="002216FA">
      <w:pPr>
        <w:rPr>
          <w:lang w:val="en-US"/>
        </w:rPr>
      </w:pPr>
      <w:r w:rsidRPr="00693C60">
        <w:rPr>
          <w:lang w:val="en-US"/>
        </w:rPr>
        <w:t>The evolution of multimedia solutions and equipment</w:t>
      </w:r>
      <w:r w:rsidR="00BA013C" w:rsidRPr="00693C60">
        <w:rPr>
          <w:lang w:val="en-US"/>
        </w:rPr>
        <w:t xml:space="preserve"> fails to take account of the needs of all consumers in terms of their diversity and </w:t>
      </w:r>
      <w:r w:rsidR="002216FA">
        <w:rPr>
          <w:lang w:val="en-US"/>
        </w:rPr>
        <w:t>disabilities</w:t>
      </w:r>
      <w:r w:rsidR="00BA013C" w:rsidRPr="00693C60">
        <w:rPr>
          <w:lang w:val="en-US"/>
        </w:rPr>
        <w:t>. Those who do not know how to read or write encounter obstacles when it comes to using telecommunication products and services.</w:t>
      </w:r>
      <w:r w:rsidR="00390D1A" w:rsidRPr="00693C60">
        <w:rPr>
          <w:lang w:val="en-US"/>
        </w:rPr>
        <w:t xml:space="preserve"> However, the International Telecommunication Regulations</w:t>
      </w:r>
      <w:r w:rsidR="002216FA">
        <w:rPr>
          <w:lang w:val="en-US"/>
        </w:rPr>
        <w:t xml:space="preserve"> (ITR) contain</w:t>
      </w:r>
      <w:r w:rsidR="00390D1A" w:rsidRPr="00693C60">
        <w:rPr>
          <w:lang w:val="en-US"/>
        </w:rPr>
        <w:t xml:space="preserve"> provisions relating to the right to communicate. In particular, Article 3.4 states that “</w:t>
      </w:r>
      <w:r w:rsidR="00390D1A" w:rsidRPr="00693C60">
        <w:rPr>
          <w:b/>
          <w:bCs/>
          <w:i/>
          <w:iCs/>
          <w:lang w:val="en-US"/>
        </w:rPr>
        <w:t>subject to national law, any user, by having access to the international network established by an administration (or recognized private operating agency), has the right to send traffic. A satisfactory quality of service should be maintained to the greatest extent practicable</w:t>
      </w:r>
      <w:r w:rsidR="00390D1A" w:rsidRPr="00693C60">
        <w:rPr>
          <w:lang w:val="en-US"/>
        </w:rPr>
        <w:t xml:space="preserve">”. </w:t>
      </w:r>
      <w:r w:rsidR="00B50D17" w:rsidRPr="00693C60">
        <w:rPr>
          <w:lang w:val="en-US"/>
        </w:rPr>
        <w:t xml:space="preserve">Consequently, taking account of the concerns of illiterate users as they seek to overcome the obstacles they face in achieving full access to telecommunication services amounts to </w:t>
      </w:r>
      <w:r w:rsidR="00B50D17" w:rsidRPr="00693C60">
        <w:rPr>
          <w:b/>
          <w:bCs/>
          <w:i/>
          <w:iCs/>
          <w:lang w:val="en-US"/>
        </w:rPr>
        <w:t>protection of their right to communicate</w:t>
      </w:r>
      <w:r w:rsidR="00B50D17" w:rsidRPr="00693C60">
        <w:rPr>
          <w:lang w:val="en-US"/>
        </w:rPr>
        <w:t>.</w:t>
      </w:r>
    </w:p>
    <w:p w:rsidR="009B37C9" w:rsidRPr="00693C60" w:rsidRDefault="003733BF" w:rsidP="00412DA1">
      <w:pPr>
        <w:pStyle w:val="Heading1"/>
        <w:spacing w:before="300"/>
        <w:rPr>
          <w:lang w:val="en-US"/>
        </w:rPr>
      </w:pPr>
      <w:r w:rsidRPr="00693C60">
        <w:rPr>
          <w:lang w:val="en-US"/>
        </w:rPr>
        <w:t>3</w:t>
      </w:r>
      <w:r w:rsidRPr="00693C60">
        <w:rPr>
          <w:lang w:val="en-US"/>
        </w:rPr>
        <w:tab/>
      </w:r>
      <w:r w:rsidR="00B50D17" w:rsidRPr="00693C60">
        <w:rPr>
          <w:lang w:val="en-US"/>
        </w:rPr>
        <w:t>Multimedia equipment and applications to reduce illiteracy</w:t>
      </w:r>
    </w:p>
    <w:p w:rsidR="009B37C9" w:rsidRPr="00693C60" w:rsidRDefault="00B50D17" w:rsidP="00470C1B">
      <w:pPr>
        <w:rPr>
          <w:lang w:val="en-US"/>
        </w:rPr>
      </w:pPr>
      <w:r w:rsidRPr="00693C60">
        <w:rPr>
          <w:lang w:val="en-US"/>
        </w:rPr>
        <w:t>Multimedia solutions and equipment can help reduce the worldwide illiteracy rate</w:t>
      </w:r>
      <w:r w:rsidR="005162C7" w:rsidRPr="00693C60">
        <w:rPr>
          <w:lang w:val="en-US"/>
        </w:rPr>
        <w:t xml:space="preserve"> and mitigate the handicaps that limit the ability of 743 million adults and 98 million young people to benefit fully from the opportunities offered by telecommunications and ICTs.</w:t>
      </w:r>
    </w:p>
    <w:p w:rsidR="005162C7" w:rsidRPr="00693C60" w:rsidRDefault="0030265C" w:rsidP="00470C1B">
      <w:pPr>
        <w:rPr>
          <w:lang w:val="en-US"/>
        </w:rPr>
      </w:pPr>
      <w:r w:rsidRPr="00693C60">
        <w:rPr>
          <w:lang w:val="en-US"/>
        </w:rPr>
        <w:t>The Morocco Initiative [2] harnessed the potential of multimedia to reduce illiteracy at the national level and should be encouraged in developing countries. In its 2008 report on the recent trends in and current situation of adult education and training (</w:t>
      </w:r>
      <w:proofErr w:type="spellStart"/>
      <w:r w:rsidRPr="00693C60">
        <w:rPr>
          <w:lang w:val="en-US"/>
        </w:rPr>
        <w:t>pp</w:t>
      </w:r>
      <w:proofErr w:type="spellEnd"/>
      <w:r w:rsidRPr="00693C60">
        <w:rPr>
          <w:lang w:val="en-US"/>
        </w:rPr>
        <w:t xml:space="preserve"> 15-16), the Ministry responsible for national education in Morocco pointed to the effectiveness of using generic multimedia tools in the pursuit of literacy.</w:t>
      </w:r>
    </w:p>
    <w:p w:rsidR="009B37C9" w:rsidRPr="00693C60" w:rsidRDefault="003733BF" w:rsidP="00412DA1">
      <w:pPr>
        <w:pStyle w:val="Heading1"/>
        <w:spacing w:before="300"/>
        <w:rPr>
          <w:lang w:val="en-US"/>
        </w:rPr>
      </w:pPr>
      <w:r w:rsidRPr="00693C60">
        <w:rPr>
          <w:lang w:val="en-US"/>
        </w:rPr>
        <w:t>4</w:t>
      </w:r>
      <w:r w:rsidRPr="00693C60">
        <w:rPr>
          <w:lang w:val="en-US"/>
        </w:rPr>
        <w:tab/>
      </w:r>
      <w:r w:rsidR="00693C60" w:rsidRPr="00693C60">
        <w:rPr>
          <w:lang w:val="en-US"/>
        </w:rPr>
        <w:t>Recommendations</w:t>
      </w:r>
    </w:p>
    <w:p w:rsidR="00693C60" w:rsidRPr="00693C60" w:rsidRDefault="00693C60" w:rsidP="009570AE">
      <w:pPr>
        <w:rPr>
          <w:lang w:val="en-US"/>
        </w:rPr>
      </w:pPr>
      <w:r w:rsidRPr="00693C60">
        <w:rPr>
          <w:lang w:val="en-US"/>
        </w:rPr>
        <w:t>This contribution seeks to draw the attention of delegates to the need to:</w:t>
      </w:r>
    </w:p>
    <w:p w:rsidR="009B37C9" w:rsidRPr="00693C60" w:rsidRDefault="00693C60" w:rsidP="00693C60">
      <w:pPr>
        <w:tabs>
          <w:tab w:val="left" w:pos="426"/>
        </w:tabs>
        <w:ind w:left="426" w:hanging="426"/>
        <w:rPr>
          <w:lang w:val="en-US"/>
        </w:rPr>
      </w:pPr>
      <w:r w:rsidRPr="00693C60">
        <w:rPr>
          <w:lang w:val="en-US"/>
        </w:rPr>
        <w:t>1</w:t>
      </w:r>
      <w:r w:rsidRPr="00693C60">
        <w:rPr>
          <w:lang w:val="en-US"/>
        </w:rPr>
        <w:tab/>
      </w:r>
      <w:proofErr w:type="gramStart"/>
      <w:r w:rsidRPr="00693C60">
        <w:rPr>
          <w:lang w:val="en-US"/>
        </w:rPr>
        <w:t>redefine</w:t>
      </w:r>
      <w:proofErr w:type="gramEnd"/>
      <w:r w:rsidRPr="00693C60">
        <w:rPr>
          <w:lang w:val="en-US"/>
        </w:rPr>
        <w:t xml:space="preserve"> the terrain for consumers with disabilities who encounter obstacles to their use of telecommunication products and services;</w:t>
      </w:r>
    </w:p>
    <w:p w:rsidR="00693C60" w:rsidRPr="00693C60" w:rsidRDefault="00693C60" w:rsidP="00693C60">
      <w:pPr>
        <w:tabs>
          <w:tab w:val="left" w:pos="426"/>
        </w:tabs>
        <w:ind w:left="426" w:hanging="426"/>
        <w:rPr>
          <w:lang w:val="en-US"/>
        </w:rPr>
      </w:pPr>
      <w:r w:rsidRPr="00693C60">
        <w:rPr>
          <w:lang w:val="en-US"/>
        </w:rPr>
        <w:t>2</w:t>
      </w:r>
      <w:r w:rsidRPr="00693C60">
        <w:rPr>
          <w:lang w:val="en-US"/>
        </w:rPr>
        <w:tab/>
        <w:t>initiate a review of the guidelines set out in Recommendation ITU-T F.790 to take account of the specific nature of the obstacles associated with illiteracy;</w:t>
      </w:r>
    </w:p>
    <w:p w:rsidR="00693C60" w:rsidRPr="00693C60" w:rsidRDefault="00693C60" w:rsidP="00693C60">
      <w:pPr>
        <w:tabs>
          <w:tab w:val="left" w:pos="426"/>
        </w:tabs>
        <w:ind w:left="426" w:hanging="426"/>
        <w:rPr>
          <w:lang w:val="en-US"/>
        </w:rPr>
      </w:pPr>
      <w:r w:rsidRPr="00693C60">
        <w:rPr>
          <w:lang w:val="en-US"/>
        </w:rPr>
        <w:t>3</w:t>
      </w:r>
      <w:r w:rsidRPr="00693C60">
        <w:rPr>
          <w:lang w:val="en-US"/>
        </w:rPr>
        <w:tab/>
        <w:t>work towards the reduction of illiteracy through the use of multimedia products and services.</w:t>
      </w:r>
    </w:p>
    <w:p w:rsidR="00693C60" w:rsidRPr="00470C1B" w:rsidRDefault="00693C60" w:rsidP="00693C60">
      <w:pPr>
        <w:tabs>
          <w:tab w:val="left" w:pos="426"/>
        </w:tabs>
        <w:ind w:left="426" w:hanging="426"/>
        <w:rPr>
          <w:lang w:val="fr-CH"/>
        </w:rPr>
      </w:pPr>
      <w:proofErr w:type="spellStart"/>
      <w:r w:rsidRPr="00470C1B">
        <w:rPr>
          <w:b/>
          <w:bCs/>
          <w:lang w:val="fr-CH"/>
        </w:rPr>
        <w:t>References</w:t>
      </w:r>
      <w:proofErr w:type="spellEnd"/>
    </w:p>
    <w:p w:rsidR="00693C60" w:rsidRPr="00470C1B" w:rsidRDefault="00693C60" w:rsidP="00693C60">
      <w:pPr>
        <w:overflowPunct w:val="0"/>
        <w:autoSpaceDE w:val="0"/>
        <w:autoSpaceDN w:val="0"/>
        <w:adjustRightInd w:val="0"/>
        <w:ind w:left="567" w:hanging="567"/>
        <w:textAlignment w:val="baseline"/>
        <w:rPr>
          <w:lang w:val="fr-CH"/>
        </w:rPr>
      </w:pPr>
      <w:r w:rsidRPr="00470C1B">
        <w:rPr>
          <w:lang w:val="fr-CH"/>
        </w:rPr>
        <w:t>[1]</w:t>
      </w:r>
      <w:r w:rsidRPr="00470C1B">
        <w:rPr>
          <w:lang w:val="fr-CH"/>
        </w:rPr>
        <w:tab/>
      </w:r>
      <w:r w:rsidRPr="00470C1B">
        <w:rPr>
          <w:i/>
          <w:iCs/>
          <w:lang w:val="fr-CH"/>
        </w:rPr>
        <w:t>L'alphabétisation, facteur de paix et de développement au 21e siècle, selon l'UNESCO</w:t>
      </w:r>
      <w:r w:rsidRPr="00470C1B">
        <w:rPr>
          <w:lang w:val="fr-CH"/>
        </w:rPr>
        <w:t xml:space="preserve">, </w:t>
      </w:r>
      <w:r w:rsidR="00AD7465">
        <w:fldChar w:fldCharType="begin"/>
      </w:r>
      <w:r w:rsidR="00AD7465" w:rsidRPr="00AD7465">
        <w:rPr>
          <w:lang w:val="fr-CH"/>
        </w:rPr>
        <w:instrText xml:space="preserve"> HYPERLINK "http://www.un.org/apps/newsFr/storyF.asp?NewsID=31002&amp;Cr=UNESCO&amp;Cr1=" \l ".UjcjtH-</w:instrText>
      </w:r>
      <w:r w:rsidR="00AD7465" w:rsidRPr="00AD7465">
        <w:rPr>
          <w:lang w:val="fr-CH"/>
        </w:rPr>
        <w:instrText xml:space="preserve">X9RG" </w:instrText>
      </w:r>
      <w:r w:rsidR="00AD7465">
        <w:fldChar w:fldCharType="separate"/>
      </w:r>
      <w:r w:rsidRPr="00470C1B">
        <w:rPr>
          <w:color w:val="0000FF"/>
          <w:u w:val="single"/>
          <w:lang w:val="fr-CH"/>
        </w:rPr>
        <w:t>http://www.un.org/apps/newsFr/storyF.asp?NewsID=31002&amp;Cr=UNESCO&amp;Cr1=#.UjcjtH-X9RG</w:t>
      </w:r>
      <w:r w:rsidR="00AD7465">
        <w:rPr>
          <w:color w:val="0000FF"/>
          <w:u w:val="single"/>
          <w:lang w:val="fr-CH"/>
        </w:rPr>
        <w:fldChar w:fldCharType="end"/>
      </w:r>
      <w:r w:rsidR="00C05369" w:rsidRPr="00470C1B">
        <w:rPr>
          <w:color w:val="0000FF"/>
          <w:lang w:val="fr-CH"/>
        </w:rPr>
        <w:t xml:space="preserve"> </w:t>
      </w:r>
      <w:r w:rsidR="00C05369" w:rsidRPr="00470C1B">
        <w:rPr>
          <w:lang w:val="fr-CH"/>
        </w:rPr>
        <w:t>[French only]</w:t>
      </w:r>
    </w:p>
    <w:p w:rsidR="00693C60" w:rsidRPr="00470C1B" w:rsidRDefault="00693C60" w:rsidP="00693C60">
      <w:pPr>
        <w:overflowPunct w:val="0"/>
        <w:autoSpaceDE w:val="0"/>
        <w:autoSpaceDN w:val="0"/>
        <w:adjustRightInd w:val="0"/>
        <w:ind w:left="567" w:hanging="567"/>
        <w:textAlignment w:val="baseline"/>
        <w:rPr>
          <w:lang w:val="fr-CH"/>
        </w:rPr>
      </w:pPr>
      <w:r w:rsidRPr="00470C1B">
        <w:rPr>
          <w:lang w:val="fr-CH"/>
        </w:rPr>
        <w:t>[2]</w:t>
      </w:r>
      <w:r w:rsidRPr="00470C1B">
        <w:rPr>
          <w:lang w:val="fr-CH"/>
        </w:rPr>
        <w:tab/>
      </w:r>
      <w:r w:rsidRPr="00470C1B">
        <w:rPr>
          <w:i/>
          <w:iCs/>
          <w:lang w:val="fr-CH"/>
        </w:rPr>
        <w:t>Tendances récentes et situation actuelle de l'éducation et de la formation des adultes (</w:t>
      </w:r>
      <w:proofErr w:type="spellStart"/>
      <w:r w:rsidRPr="00470C1B">
        <w:rPr>
          <w:i/>
          <w:iCs/>
          <w:lang w:val="fr-CH"/>
        </w:rPr>
        <w:t>EdFoA</w:t>
      </w:r>
      <w:proofErr w:type="spellEnd"/>
      <w:r w:rsidRPr="00470C1B">
        <w:rPr>
          <w:i/>
          <w:iCs/>
          <w:lang w:val="fr-CH"/>
        </w:rPr>
        <w:t>)</w:t>
      </w:r>
      <w:r w:rsidRPr="00470C1B">
        <w:rPr>
          <w:lang w:val="fr-CH"/>
        </w:rPr>
        <w:t xml:space="preserve">, Maroc, mars 2008, </w:t>
      </w:r>
      <w:hyperlink r:id="rId11" w:history="1">
        <w:r w:rsidRPr="00470C1B">
          <w:rPr>
            <w:color w:val="0000FF"/>
            <w:u w:val="single"/>
            <w:lang w:val="fr-CH"/>
          </w:rPr>
          <w:t>http://www.unesco.org/fileadmin/MULTIMEDIA/‌INSTITUTES/UIL/confintea/pdf/National_Reports/Arab%20States/Morocco.pdf</w:t>
        </w:r>
      </w:hyperlink>
      <w:r w:rsidR="007A3447">
        <w:rPr>
          <w:color w:val="0000FF"/>
          <w:lang w:val="fr-CH"/>
        </w:rPr>
        <w:t xml:space="preserve"> </w:t>
      </w:r>
      <w:r w:rsidR="00C05369" w:rsidRPr="00470C1B">
        <w:rPr>
          <w:lang w:val="fr-CH"/>
        </w:rPr>
        <w:t>[French only]</w:t>
      </w:r>
    </w:p>
    <w:p w:rsidR="00693C60" w:rsidRPr="00693C60" w:rsidRDefault="00693C60" w:rsidP="00412DA1">
      <w:pPr>
        <w:spacing w:before="0"/>
        <w:jc w:val="center"/>
        <w:rPr>
          <w:lang w:val="en-US"/>
        </w:rPr>
      </w:pPr>
      <w:r w:rsidRPr="00693C60">
        <w:rPr>
          <w:lang w:val="en-US"/>
        </w:rPr>
        <w:t>______________</w:t>
      </w:r>
    </w:p>
    <w:sectPr w:rsidR="00693C60" w:rsidRPr="00693C60" w:rsidSect="00412DA1">
      <w:headerReference w:type="default" r:id="rId12"/>
      <w:footerReference w:type="default" r:id="rId13"/>
      <w:headerReference w:type="first" r:id="rId14"/>
      <w:footerReference w:type="first" r:id="rId15"/>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7D7" w:rsidRDefault="00D347D7">
      <w:r>
        <w:separator/>
      </w:r>
    </w:p>
  </w:endnote>
  <w:endnote w:type="continuationSeparator" w:id="0">
    <w:p w:rsidR="00D347D7" w:rsidRDefault="00D3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7D7" w:rsidRPr="00412DA1" w:rsidRDefault="00412DA1" w:rsidP="00412DA1">
    <w:pPr>
      <w:pStyle w:val="Footer"/>
      <w:rPr>
        <w:lang w:val="fr-CH"/>
      </w:rPr>
    </w:pPr>
    <w:r w:rsidRPr="00412DA1">
      <w:rPr>
        <w:lang w:val="fr-CH"/>
      </w:rPr>
      <w:t>ITU-T\COM-T\COM16\C\281E.DOC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252"/>
      <w:gridCol w:w="4054"/>
    </w:tblGrid>
    <w:tr w:rsidR="00412DA1" w:rsidRPr="00412DA1" w:rsidTr="00412DA1">
      <w:trPr>
        <w:cantSplit/>
        <w:trHeight w:val="204"/>
        <w:jc w:val="center"/>
      </w:trPr>
      <w:tc>
        <w:tcPr>
          <w:tcW w:w="1617" w:type="dxa"/>
          <w:tcBorders>
            <w:top w:val="single" w:sz="12" w:space="0" w:color="auto"/>
          </w:tcBorders>
        </w:tcPr>
        <w:p w:rsidR="00412DA1" w:rsidRPr="00412DA1" w:rsidRDefault="00412DA1" w:rsidP="00184173">
          <w:pPr>
            <w:rPr>
              <w:b/>
              <w:bCs/>
              <w:sz w:val="22"/>
              <w:lang w:val="en-US"/>
            </w:rPr>
          </w:pPr>
          <w:bookmarkStart w:id="11" w:name="dcontact"/>
          <w:bookmarkStart w:id="12" w:name="dcontent1" w:colFirst="1" w:colLast="1"/>
          <w:r w:rsidRPr="00412DA1">
            <w:rPr>
              <w:b/>
              <w:bCs/>
              <w:sz w:val="22"/>
              <w:lang w:val="en-US"/>
            </w:rPr>
            <w:t>Contact:</w:t>
          </w:r>
        </w:p>
      </w:tc>
      <w:tc>
        <w:tcPr>
          <w:tcW w:w="4252" w:type="dxa"/>
          <w:tcBorders>
            <w:top w:val="single" w:sz="12" w:space="0" w:color="auto"/>
          </w:tcBorders>
        </w:tcPr>
        <w:p w:rsidR="00412DA1" w:rsidRPr="00412DA1" w:rsidRDefault="00412DA1" w:rsidP="00184173">
          <w:pPr>
            <w:rPr>
              <w:sz w:val="22"/>
              <w:lang w:val="en-US"/>
            </w:rPr>
          </w:pPr>
          <w:r w:rsidRPr="00412DA1">
            <w:rPr>
              <w:sz w:val="22"/>
              <w:lang w:val="en-US"/>
            </w:rPr>
            <w:t xml:space="preserve">Mr Romain A. </w:t>
          </w:r>
          <w:proofErr w:type="spellStart"/>
          <w:r w:rsidRPr="00412DA1">
            <w:rPr>
              <w:sz w:val="22"/>
              <w:lang w:val="en-US"/>
            </w:rPr>
            <w:t>Houéhou</w:t>
          </w:r>
          <w:proofErr w:type="spellEnd"/>
          <w:r w:rsidRPr="00412DA1">
            <w:rPr>
              <w:sz w:val="22"/>
              <w:lang w:val="en-US"/>
            </w:rPr>
            <w:br/>
            <w:t>African ICT Consumers Network (AICN)</w:t>
          </w:r>
          <w:r w:rsidRPr="00412DA1">
            <w:rPr>
              <w:sz w:val="22"/>
              <w:lang w:val="en-US"/>
            </w:rPr>
            <w:br/>
            <w:t>Benin</w:t>
          </w:r>
        </w:p>
      </w:tc>
      <w:tc>
        <w:tcPr>
          <w:tcW w:w="4054" w:type="dxa"/>
          <w:tcBorders>
            <w:top w:val="single" w:sz="12" w:space="0" w:color="auto"/>
          </w:tcBorders>
        </w:tcPr>
        <w:p w:rsidR="00412DA1" w:rsidRPr="00412DA1" w:rsidRDefault="00412DA1" w:rsidP="00412DA1">
          <w:pPr>
            <w:tabs>
              <w:tab w:val="left" w:pos="879"/>
            </w:tabs>
            <w:rPr>
              <w:sz w:val="22"/>
              <w:lang w:val="en-US"/>
            </w:rPr>
          </w:pPr>
          <w:r w:rsidRPr="00412DA1">
            <w:rPr>
              <w:sz w:val="22"/>
              <w:lang w:val="en-US"/>
            </w:rPr>
            <w:t>Te</w:t>
          </w:r>
          <w:r>
            <w:rPr>
              <w:sz w:val="22"/>
              <w:lang w:val="en-US"/>
            </w:rPr>
            <w:t>l:</w:t>
          </w:r>
          <w:r>
            <w:rPr>
              <w:sz w:val="22"/>
              <w:lang w:val="en-US"/>
            </w:rPr>
            <w:tab/>
          </w:r>
          <w:r w:rsidRPr="00412DA1">
            <w:rPr>
              <w:sz w:val="22"/>
              <w:lang w:val="en-US"/>
            </w:rPr>
            <w:t>+229 21 352458</w:t>
          </w:r>
          <w:r w:rsidRPr="00412DA1">
            <w:rPr>
              <w:sz w:val="22"/>
              <w:lang w:val="en-US"/>
            </w:rPr>
            <w:br/>
            <w:t xml:space="preserve">Fax: </w:t>
          </w:r>
          <w:r>
            <w:rPr>
              <w:sz w:val="22"/>
              <w:lang w:val="en-US"/>
            </w:rPr>
            <w:tab/>
          </w:r>
          <w:r w:rsidRPr="00412DA1">
            <w:rPr>
              <w:sz w:val="22"/>
              <w:lang w:val="en-US"/>
            </w:rPr>
            <w:t>+229 21 382873</w:t>
          </w:r>
          <w:r w:rsidRPr="00412DA1">
            <w:rPr>
              <w:sz w:val="22"/>
              <w:lang w:val="en-US"/>
            </w:rPr>
            <w:br/>
            <w:t xml:space="preserve">Email: </w:t>
          </w:r>
          <w:r>
            <w:rPr>
              <w:sz w:val="22"/>
              <w:lang w:val="en-US"/>
            </w:rPr>
            <w:tab/>
          </w:r>
          <w:hyperlink r:id="rId1" w:history="1">
            <w:r w:rsidRPr="00412DA1">
              <w:rPr>
                <w:rStyle w:val="Hyperlink"/>
                <w:sz w:val="22"/>
                <w:lang w:val="en-US"/>
              </w:rPr>
              <w:t>abile0411@gmail.com</w:t>
            </w:r>
          </w:hyperlink>
          <w:r w:rsidRPr="00412DA1">
            <w:rPr>
              <w:sz w:val="22"/>
              <w:lang w:val="en-US"/>
            </w:rPr>
            <w:t xml:space="preserve"> </w:t>
          </w:r>
        </w:p>
      </w:tc>
    </w:tr>
    <w:bookmarkEnd w:id="11"/>
    <w:bookmarkEnd w:id="12"/>
    <w:tr w:rsidR="00412DA1" w:rsidRPr="00412DA1" w:rsidTr="00412DA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12DA1" w:rsidRPr="00412DA1" w:rsidRDefault="00412DA1" w:rsidP="00412DA1">
          <w:pPr>
            <w:spacing w:before="0"/>
            <w:rPr>
              <w:sz w:val="18"/>
            </w:rPr>
          </w:pPr>
          <w:r w:rsidRPr="00412DA1">
            <w:rPr>
              <w:b/>
              <w:bCs/>
              <w:sz w:val="18"/>
            </w:rPr>
            <w:t>Attention:</w:t>
          </w:r>
          <w:r w:rsidRPr="00412DA1">
            <w:rPr>
              <w:sz w:val="18"/>
            </w:rPr>
            <w:t xml:space="preserve"> This is not a publication made available to the public, but </w:t>
          </w:r>
          <w:r w:rsidRPr="00412DA1">
            <w:rPr>
              <w:b/>
              <w:bCs/>
              <w:sz w:val="18"/>
            </w:rPr>
            <w:t>an internal ITU-T Document</w:t>
          </w:r>
          <w:r w:rsidRPr="00412DA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12DA1" w:rsidRPr="00412DA1" w:rsidRDefault="00412DA1" w:rsidP="00412DA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7D7" w:rsidRDefault="00D347D7">
      <w:r>
        <w:t>____________________</w:t>
      </w:r>
    </w:p>
  </w:footnote>
  <w:footnote w:type="continuationSeparator" w:id="0">
    <w:p w:rsidR="00D347D7" w:rsidRDefault="00D34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7D7" w:rsidRPr="00412DA1" w:rsidRDefault="00412DA1" w:rsidP="00412DA1">
    <w:pPr>
      <w:pStyle w:val="Header"/>
    </w:pPr>
    <w:r w:rsidRPr="00412DA1">
      <w:t xml:space="preserve">- </w:t>
    </w:r>
    <w:r w:rsidRPr="00412DA1">
      <w:fldChar w:fldCharType="begin"/>
    </w:r>
    <w:r w:rsidRPr="00412DA1">
      <w:instrText xml:space="preserve"> PAGE  \* MERGEFORMAT </w:instrText>
    </w:r>
    <w:r w:rsidRPr="00412DA1">
      <w:fldChar w:fldCharType="separate"/>
    </w:r>
    <w:r w:rsidR="00AD7465">
      <w:rPr>
        <w:noProof/>
      </w:rPr>
      <w:t>3</w:t>
    </w:r>
    <w:r w:rsidRPr="00412DA1">
      <w:fldChar w:fldCharType="end"/>
    </w:r>
    <w:r w:rsidRPr="00412DA1">
      <w:t xml:space="preserve"> -</w:t>
    </w:r>
  </w:p>
  <w:p w:rsidR="00412DA1" w:rsidRPr="00412DA1" w:rsidRDefault="00412DA1" w:rsidP="00412DA1">
    <w:pPr>
      <w:pStyle w:val="Header"/>
      <w:spacing w:after="240"/>
    </w:pPr>
    <w:r w:rsidRPr="00412DA1">
      <w:fldChar w:fldCharType="begin"/>
    </w:r>
    <w:r w:rsidRPr="00412DA1">
      <w:instrText xml:space="preserve"> STYLEREF  Docnumber  </w:instrText>
    </w:r>
    <w:r w:rsidRPr="00412DA1">
      <w:fldChar w:fldCharType="separate"/>
    </w:r>
    <w:r w:rsidR="00AD7465">
      <w:rPr>
        <w:noProof/>
      </w:rPr>
      <w:t>COM 16 – C 281 – E</w:t>
    </w:r>
    <w:r w:rsidRPr="00412DA1">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59B" w:rsidRDefault="00CA359B" w:rsidP="00AD7465">
    <w:pPr>
      <w:pStyle w:val="Header"/>
      <w:spacing w:after="240"/>
      <w:rPr>
        <w:rFonts w:eastAsia="Malgun Gothic"/>
        <w:bCs/>
        <w:sz w:val="20"/>
      </w:rPr>
    </w:pPr>
    <w:r>
      <w:rPr>
        <w:rFonts w:eastAsia="Malgun Gothic"/>
        <w:bCs/>
        <w:sz w:val="20"/>
      </w:rPr>
      <w:t>Attachment 1 to</w:t>
    </w:r>
    <w:r>
      <w:rPr>
        <w:rFonts w:eastAsia="Malgun Gothic"/>
        <w:bCs/>
        <w:sz w:val="20"/>
      </w:rPr>
      <w:br/>
      <w:t>COM16-LS-58</w:t>
    </w:r>
    <w:r w:rsidR="00AD7465">
      <w:rPr>
        <w:rFonts w:eastAsia="Malgun Gothic"/>
        <w:bCs/>
        <w:sz w:val="20"/>
      </w:rPr>
      <w:br/>
    </w:r>
    <w:r w:rsidR="00AD7465">
      <w:rPr>
        <w:rFonts w:eastAsia="Malgun Gothic"/>
        <w:bCs/>
        <w:sz w:val="20"/>
      </w:rPr>
      <w:t xml:space="preserve">(C.281 </w:t>
    </w:r>
    <w:r w:rsidR="00AD7465">
      <w:rPr>
        <w:rFonts w:eastAsia="Malgun Gothic"/>
        <w:bCs/>
        <w:sz w:val="20"/>
      </w:rPr>
      <w:t>E</w:t>
    </w:r>
    <w:r w:rsidR="00AD7465">
      <w:rPr>
        <w:rFonts w:eastAsia="Malgun Gothic"/>
        <w:bCs/>
        <w:sz w:val="20"/>
      </w:rPr>
      <w:t>)</w:t>
    </w:r>
  </w:p>
  <w:p w:rsidR="00CA359B" w:rsidRDefault="00CA35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69A9"/>
    <w:multiLevelType w:val="hybridMultilevel"/>
    <w:tmpl w:val="806AE706"/>
    <w:lvl w:ilvl="0" w:tplc="82300B24">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101E7"/>
    <w:multiLevelType w:val="hybridMultilevel"/>
    <w:tmpl w:val="58DC50BA"/>
    <w:lvl w:ilvl="0" w:tplc="874E54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D94A5F"/>
    <w:multiLevelType w:val="hybridMultilevel"/>
    <w:tmpl w:val="B9D49E8A"/>
    <w:lvl w:ilvl="0" w:tplc="82300B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45624CD"/>
    <w:multiLevelType w:val="hybridMultilevel"/>
    <w:tmpl w:val="FF142FF0"/>
    <w:lvl w:ilvl="0" w:tplc="82300B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5">
    <w:nsid w:val="662158C5"/>
    <w:multiLevelType w:val="hybridMultilevel"/>
    <w:tmpl w:val="560C9480"/>
    <w:lvl w:ilvl="0" w:tplc="82300B24">
      <w:start w:val="1"/>
      <w:numFmt w:val="bullet"/>
      <w:lvlRestart w:val="0"/>
      <w:lvlText w:val="–"/>
      <w:lvlJc w:val="left"/>
      <w:pPr>
        <w:ind w:left="720" w:hanging="363"/>
      </w:pPr>
      <w:rPr>
        <w:rFonts w:ascii="Times New Roman" w:hAnsi="Times New Roman" w:cs="Times New Roman" w:hint="default"/>
      </w:rPr>
    </w:lvl>
    <w:lvl w:ilvl="1" w:tplc="7A1CEA08">
      <w:numFmt w:val="bullet"/>
      <w:lvlText w:val="-"/>
      <w:lvlJc w:val="left"/>
      <w:pPr>
        <w:ind w:left="1440" w:hanging="360"/>
      </w:pPr>
      <w:rPr>
        <w:rFonts w:ascii="Calibri" w:eastAsiaTheme="minorEastAsia" w:hAnsi="Calibri" w:cs="Times New Roman" w:hint="default"/>
        <w:color w:val="000000"/>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738752E"/>
    <w:multiLevelType w:val="hybridMultilevel"/>
    <w:tmpl w:val="60F63104"/>
    <w:lvl w:ilvl="0" w:tplc="82300B24">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C9"/>
    <w:rsid w:val="000666F8"/>
    <w:rsid w:val="00096149"/>
    <w:rsid w:val="000D41F7"/>
    <w:rsid w:val="000F337E"/>
    <w:rsid w:val="00156899"/>
    <w:rsid w:val="001E3527"/>
    <w:rsid w:val="002216FA"/>
    <w:rsid w:val="00294482"/>
    <w:rsid w:val="002E3C9B"/>
    <w:rsid w:val="0030265C"/>
    <w:rsid w:val="003733BF"/>
    <w:rsid w:val="00390D1A"/>
    <w:rsid w:val="003F47A0"/>
    <w:rsid w:val="00412DA1"/>
    <w:rsid w:val="0042747D"/>
    <w:rsid w:val="00470C1B"/>
    <w:rsid w:val="00492E0A"/>
    <w:rsid w:val="00500672"/>
    <w:rsid w:val="005162C7"/>
    <w:rsid w:val="00554078"/>
    <w:rsid w:val="005D0999"/>
    <w:rsid w:val="00693C60"/>
    <w:rsid w:val="006B77F3"/>
    <w:rsid w:val="00710766"/>
    <w:rsid w:val="0074426A"/>
    <w:rsid w:val="00784E02"/>
    <w:rsid w:val="007A3447"/>
    <w:rsid w:val="008F0F3B"/>
    <w:rsid w:val="009045BF"/>
    <w:rsid w:val="009570AE"/>
    <w:rsid w:val="0098320B"/>
    <w:rsid w:val="009B37C9"/>
    <w:rsid w:val="00A166C1"/>
    <w:rsid w:val="00AD7465"/>
    <w:rsid w:val="00B247EE"/>
    <w:rsid w:val="00B50D17"/>
    <w:rsid w:val="00B7707F"/>
    <w:rsid w:val="00BA013C"/>
    <w:rsid w:val="00BB6154"/>
    <w:rsid w:val="00BD2861"/>
    <w:rsid w:val="00BF2294"/>
    <w:rsid w:val="00C01573"/>
    <w:rsid w:val="00C05369"/>
    <w:rsid w:val="00C21423"/>
    <w:rsid w:val="00CA359B"/>
    <w:rsid w:val="00CB1042"/>
    <w:rsid w:val="00CE13D2"/>
    <w:rsid w:val="00D12796"/>
    <w:rsid w:val="00D347D7"/>
    <w:rsid w:val="00D366C1"/>
    <w:rsid w:val="00E875BA"/>
    <w:rsid w:val="00EA567F"/>
    <w:rsid w:val="00EC2E3F"/>
    <w:rsid w:val="00FD225A"/>
    <w:rsid w:val="00FF6C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37C9"/>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aftertitle"/>
    <w:pPr>
      <w:keepNext/>
      <w:keepLines/>
      <w:spacing w:before="240"/>
      <w:jc w:val="center"/>
    </w:pPr>
    <w:rPr>
      <w:b/>
      <w:sz w:val="28"/>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character" w:styleId="FootnoteReference">
    <w:name w:val="footnote reference"/>
    <w:basedOn w:val="DefaultParagraphFont"/>
    <w:rPr>
      <w:position w:val="6"/>
      <w:sz w:val="18"/>
    </w:rPr>
  </w:style>
  <w:style w:type="paragraph" w:styleId="FootnoteText">
    <w:name w:val="footnote text"/>
    <w:basedOn w:val="Note"/>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style>
  <w:style w:type="paragraph" w:styleId="Header">
    <w:name w:val="header"/>
    <w:basedOn w:val="Normal"/>
    <w:link w:val="HeaderChar"/>
    <w:uiPriority w:val="99"/>
    <w:pPr>
      <w:spacing w:before="0"/>
      <w:jc w:val="center"/>
    </w:pPr>
    <w:rPr>
      <w:sz w:val="18"/>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spacing w:before="624"/>
      <w:jc w:val="center"/>
    </w:pPr>
    <w:rPr>
      <w:b/>
    </w:rPr>
  </w:style>
  <w:style w:type="paragraph" w:customStyle="1" w:styleId="Recref">
    <w:name w:val="Rec_ref"/>
    <w:basedOn w:val="Normal"/>
    <w:next w:val="Recdate"/>
    <w:pPr>
      <w:keepNext/>
      <w:keepLines/>
      <w:jc w:val="center"/>
    </w:pPr>
    <w:rPr>
      <w:i/>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pPr>
      <w:keepLines/>
      <w:tabs>
        <w:tab w:val="left" w:pos="964"/>
        <w:tab w:val="left" w:leader="dot" w:pos="8789"/>
        <w:tab w:val="right" w:pos="9639"/>
      </w:tabs>
      <w:spacing w:before="240"/>
      <w:ind w:left="680" w:right="851" w:hanging="680"/>
    </w:pPr>
  </w:style>
  <w:style w:type="paragraph" w:styleId="TOC2">
    <w:name w:val="toc 2"/>
    <w:basedOn w:val="TOC1"/>
    <w:pPr>
      <w:spacing w:before="80"/>
      <w:ind w:left="1531" w:hanging="851"/>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character" w:customStyle="1" w:styleId="Heading1Char">
    <w:name w:val="Heading 1 Char"/>
    <w:basedOn w:val="DefaultParagraphFont"/>
    <w:link w:val="Heading1"/>
    <w:rsid w:val="009B37C9"/>
    <w:rPr>
      <w:rFonts w:ascii="Times New Roman" w:hAnsi="Times New Roman"/>
      <w:b/>
      <w:sz w:val="24"/>
      <w:lang w:val="en-GB" w:eastAsia="en-US"/>
    </w:rPr>
  </w:style>
  <w:style w:type="character" w:customStyle="1" w:styleId="Heading2Char">
    <w:name w:val="Heading 2 Char"/>
    <w:basedOn w:val="DefaultParagraphFont"/>
    <w:link w:val="Heading2"/>
    <w:rsid w:val="009B37C9"/>
    <w:rPr>
      <w:rFonts w:ascii="Times New Roman" w:hAnsi="Times New Roman"/>
      <w:b/>
      <w:sz w:val="24"/>
      <w:lang w:val="en-GB" w:eastAsia="en-US"/>
    </w:rPr>
  </w:style>
  <w:style w:type="character" w:styleId="Hyperlink">
    <w:name w:val="Hyperlink"/>
    <w:basedOn w:val="DefaultParagraphFont"/>
    <w:uiPriority w:val="99"/>
    <w:rsid w:val="009B37C9"/>
    <w:rPr>
      <w:color w:val="0000FF"/>
      <w:u w:val="single"/>
    </w:rPr>
  </w:style>
  <w:style w:type="paragraph" w:styleId="ListParagraph">
    <w:name w:val="List Paragraph"/>
    <w:basedOn w:val="Normal"/>
    <w:uiPriority w:val="34"/>
    <w:qFormat/>
    <w:rsid w:val="009B37C9"/>
    <w:pPr>
      <w:ind w:left="720"/>
      <w:contextualSpacing/>
    </w:pPr>
  </w:style>
  <w:style w:type="character" w:customStyle="1" w:styleId="HeaderChar">
    <w:name w:val="Header Char"/>
    <w:basedOn w:val="DefaultParagraphFont"/>
    <w:link w:val="Header"/>
    <w:uiPriority w:val="99"/>
    <w:rsid w:val="00FF6CCF"/>
    <w:rPr>
      <w:rFonts w:ascii="Times New Roman" w:eastAsiaTheme="minorEastAsia" w:hAnsi="Times New Roman"/>
      <w:sz w:val="18"/>
      <w:szCs w:val="24"/>
      <w:lang w:val="en-GB" w:eastAsia="ja-JP"/>
    </w:rPr>
  </w:style>
  <w:style w:type="character" w:customStyle="1" w:styleId="FooterChar">
    <w:name w:val="Footer Char"/>
    <w:basedOn w:val="DefaultParagraphFont"/>
    <w:link w:val="Footer"/>
    <w:rsid w:val="006B77F3"/>
    <w:rPr>
      <w:rFonts w:ascii="Times New Roman" w:eastAsiaTheme="minorEastAsia" w:hAnsi="Times New Roman"/>
      <w:caps/>
      <w:noProof/>
      <w:sz w:val="16"/>
      <w:szCs w:val="24"/>
      <w:lang w:val="en-GB" w:eastAsia="ja-JP"/>
    </w:rPr>
  </w:style>
  <w:style w:type="paragraph" w:customStyle="1" w:styleId="Docnumber">
    <w:name w:val="Docnumber"/>
    <w:basedOn w:val="Normal"/>
    <w:link w:val="DocnumberChar"/>
    <w:rsid w:val="00412DA1"/>
    <w:pPr>
      <w:jc w:val="right"/>
    </w:pPr>
    <w:rPr>
      <w:b/>
    </w:rPr>
  </w:style>
  <w:style w:type="character" w:customStyle="1" w:styleId="DocnumberChar">
    <w:name w:val="Docnumber Char"/>
    <w:basedOn w:val="DefaultParagraphFont"/>
    <w:link w:val="Docnumber"/>
    <w:rsid w:val="00412DA1"/>
    <w:rPr>
      <w:rFonts w:ascii="Times New Roman" w:eastAsiaTheme="minorEastAsia" w:hAnsi="Times New Roman"/>
      <w:b/>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37C9"/>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aftertitle"/>
    <w:pPr>
      <w:keepNext/>
      <w:keepLines/>
      <w:spacing w:before="240"/>
      <w:jc w:val="center"/>
    </w:pPr>
    <w:rPr>
      <w:b/>
      <w:sz w:val="28"/>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character" w:styleId="FootnoteReference">
    <w:name w:val="footnote reference"/>
    <w:basedOn w:val="DefaultParagraphFont"/>
    <w:rPr>
      <w:position w:val="6"/>
      <w:sz w:val="18"/>
    </w:rPr>
  </w:style>
  <w:style w:type="paragraph" w:styleId="FootnoteText">
    <w:name w:val="footnote text"/>
    <w:basedOn w:val="Note"/>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style>
  <w:style w:type="paragraph" w:styleId="Header">
    <w:name w:val="header"/>
    <w:basedOn w:val="Normal"/>
    <w:link w:val="HeaderChar"/>
    <w:uiPriority w:val="99"/>
    <w:pPr>
      <w:spacing w:before="0"/>
      <w:jc w:val="center"/>
    </w:pPr>
    <w:rPr>
      <w:sz w:val="18"/>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spacing w:before="624"/>
      <w:jc w:val="center"/>
    </w:pPr>
    <w:rPr>
      <w:b/>
    </w:rPr>
  </w:style>
  <w:style w:type="paragraph" w:customStyle="1" w:styleId="Recref">
    <w:name w:val="Rec_ref"/>
    <w:basedOn w:val="Normal"/>
    <w:next w:val="Recdate"/>
    <w:pPr>
      <w:keepNext/>
      <w:keepLines/>
      <w:jc w:val="center"/>
    </w:pPr>
    <w:rPr>
      <w:i/>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pPr>
      <w:keepLines/>
      <w:tabs>
        <w:tab w:val="left" w:pos="964"/>
        <w:tab w:val="left" w:leader="dot" w:pos="8789"/>
        <w:tab w:val="right" w:pos="9639"/>
      </w:tabs>
      <w:spacing w:before="240"/>
      <w:ind w:left="680" w:right="851" w:hanging="680"/>
    </w:pPr>
  </w:style>
  <w:style w:type="paragraph" w:styleId="TOC2">
    <w:name w:val="toc 2"/>
    <w:basedOn w:val="TOC1"/>
    <w:pPr>
      <w:spacing w:before="80"/>
      <w:ind w:left="1531" w:hanging="851"/>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character" w:customStyle="1" w:styleId="Heading1Char">
    <w:name w:val="Heading 1 Char"/>
    <w:basedOn w:val="DefaultParagraphFont"/>
    <w:link w:val="Heading1"/>
    <w:rsid w:val="009B37C9"/>
    <w:rPr>
      <w:rFonts w:ascii="Times New Roman" w:hAnsi="Times New Roman"/>
      <w:b/>
      <w:sz w:val="24"/>
      <w:lang w:val="en-GB" w:eastAsia="en-US"/>
    </w:rPr>
  </w:style>
  <w:style w:type="character" w:customStyle="1" w:styleId="Heading2Char">
    <w:name w:val="Heading 2 Char"/>
    <w:basedOn w:val="DefaultParagraphFont"/>
    <w:link w:val="Heading2"/>
    <w:rsid w:val="009B37C9"/>
    <w:rPr>
      <w:rFonts w:ascii="Times New Roman" w:hAnsi="Times New Roman"/>
      <w:b/>
      <w:sz w:val="24"/>
      <w:lang w:val="en-GB" w:eastAsia="en-US"/>
    </w:rPr>
  </w:style>
  <w:style w:type="character" w:styleId="Hyperlink">
    <w:name w:val="Hyperlink"/>
    <w:basedOn w:val="DefaultParagraphFont"/>
    <w:uiPriority w:val="99"/>
    <w:rsid w:val="009B37C9"/>
    <w:rPr>
      <w:color w:val="0000FF"/>
      <w:u w:val="single"/>
    </w:rPr>
  </w:style>
  <w:style w:type="paragraph" w:styleId="ListParagraph">
    <w:name w:val="List Paragraph"/>
    <w:basedOn w:val="Normal"/>
    <w:uiPriority w:val="34"/>
    <w:qFormat/>
    <w:rsid w:val="009B37C9"/>
    <w:pPr>
      <w:ind w:left="720"/>
      <w:contextualSpacing/>
    </w:pPr>
  </w:style>
  <w:style w:type="character" w:customStyle="1" w:styleId="HeaderChar">
    <w:name w:val="Header Char"/>
    <w:basedOn w:val="DefaultParagraphFont"/>
    <w:link w:val="Header"/>
    <w:uiPriority w:val="99"/>
    <w:rsid w:val="00FF6CCF"/>
    <w:rPr>
      <w:rFonts w:ascii="Times New Roman" w:eastAsiaTheme="minorEastAsia" w:hAnsi="Times New Roman"/>
      <w:sz w:val="18"/>
      <w:szCs w:val="24"/>
      <w:lang w:val="en-GB" w:eastAsia="ja-JP"/>
    </w:rPr>
  </w:style>
  <w:style w:type="character" w:customStyle="1" w:styleId="FooterChar">
    <w:name w:val="Footer Char"/>
    <w:basedOn w:val="DefaultParagraphFont"/>
    <w:link w:val="Footer"/>
    <w:rsid w:val="006B77F3"/>
    <w:rPr>
      <w:rFonts w:ascii="Times New Roman" w:eastAsiaTheme="minorEastAsia" w:hAnsi="Times New Roman"/>
      <w:caps/>
      <w:noProof/>
      <w:sz w:val="16"/>
      <w:szCs w:val="24"/>
      <w:lang w:val="en-GB" w:eastAsia="ja-JP"/>
    </w:rPr>
  </w:style>
  <w:style w:type="paragraph" w:customStyle="1" w:styleId="Docnumber">
    <w:name w:val="Docnumber"/>
    <w:basedOn w:val="Normal"/>
    <w:link w:val="DocnumberChar"/>
    <w:rsid w:val="00412DA1"/>
    <w:pPr>
      <w:jc w:val="right"/>
    </w:pPr>
    <w:rPr>
      <w:b/>
    </w:rPr>
  </w:style>
  <w:style w:type="character" w:customStyle="1" w:styleId="DocnumberChar">
    <w:name w:val="Docnumber Char"/>
    <w:basedOn w:val="DefaultParagraphFont"/>
    <w:link w:val="Docnumber"/>
    <w:rsid w:val="00412DA1"/>
    <w:rPr>
      <w:rFonts w:ascii="Times New Roman" w:eastAsiaTheme="minorEastAsia" w:hAnsi="Times New Roman"/>
      <w:b/>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10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esco.org/fileadmin/MULTIMEDIA/INSTITUTES/UIL/confintea/pdf/National_Reports/Arab%20States/Morocco.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nesco.org/new/fr/unesc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abile0411@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urrie\Application%20Data\Microsoft\Templates\POOL%20E%20-%20ITU\PE_POO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3BC6A-6E48-4995-ACF8-251FB3E2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PE_POOL.dotm</Template>
  <TotalTime>2</TotalTime>
  <Pages>3</Pages>
  <Words>883</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Facilitating access to multimedia and ICT products and services for illiterate consumers</vt:lpstr>
      <vt:lpstr>1	Introduction</vt:lpstr>
      <vt:lpstr>2	Communications – a human right</vt:lpstr>
      <vt:lpstr>3	Multimedia equipment and applications to reduce illiteracy</vt:lpstr>
      <vt:lpstr>4	Recommendations</vt:lpstr>
    </vt:vector>
  </TitlesOfParts>
  <Manager>ITU-T</Manager>
  <Company>International Telecommunication Union (ITU)</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Facilitating access to multimedia and ICT products and services for illiterate consumers</dc:title>
  <dc:creator>AICN (Benin)</dc:creator>
  <cp:keywords>13, 21, 26/16</cp:keywords>
  <dc:description>COM 16 – C 281 – E  For: Geneva, 28 October – 8 November 2013_x000d_Document date: September 2013_x000d_Saved by ITU51006831 at 11:31:55 on 24/09/13</dc:description>
  <cp:lastModifiedBy>Angeles-Leon De Vivero, Rosa</cp:lastModifiedBy>
  <cp:revision>6</cp:revision>
  <cp:lastPrinted>2013-11-11T13:29:00Z</cp:lastPrinted>
  <dcterms:created xsi:type="dcterms:W3CDTF">2013-11-11T12:35:00Z</dcterms:created>
  <dcterms:modified xsi:type="dcterms:W3CDTF">2013-11-13T09:28:00Z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281 – E</vt:lpwstr>
  </property>
  <property fmtid="{D5CDD505-2E9C-101B-9397-08002B2CF9AE}" pid="3" name="Docdate">
    <vt:lpwstr>September 2013</vt:lpwstr>
  </property>
  <property fmtid="{D5CDD505-2E9C-101B-9397-08002B2CF9AE}" pid="4" name="Docorlang">
    <vt:lpwstr>English only Original: English</vt:lpwstr>
  </property>
  <property fmtid="{D5CDD505-2E9C-101B-9397-08002B2CF9AE}" pid="5" name="Docbluepink">
    <vt:lpwstr>13, 21, 26/16</vt:lpwstr>
  </property>
  <property fmtid="{D5CDD505-2E9C-101B-9397-08002B2CF9AE}" pid="6" name="Docdest">
    <vt:lpwstr>Geneva, 28 October – 8 November 2013</vt:lpwstr>
  </property>
  <property fmtid="{D5CDD505-2E9C-101B-9397-08002B2CF9AE}" pid="7" name="Docauthor">
    <vt:lpwstr>AICN (Benin)</vt:lpwstr>
  </property>
</Properties>
</file>